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6F31" w14:textId="7AA087D8" w:rsidR="002505CA" w:rsidRDefault="00A028E5" w:rsidP="00A028E5">
      <w:pPr>
        <w:jc w:val="center"/>
      </w:pPr>
      <w:r>
        <w:t>COMUNE DI UBIALE CLANEZZO</w:t>
      </w:r>
    </w:p>
    <w:p w14:paraId="7B88731C" w14:textId="65509018" w:rsidR="00A028E5" w:rsidRDefault="00A028E5" w:rsidP="00A028E5">
      <w:pPr>
        <w:jc w:val="center"/>
      </w:pPr>
      <w:r>
        <w:t>PROVINCIA DI BERGAMO</w:t>
      </w:r>
    </w:p>
    <w:p w14:paraId="5EB4E4E0" w14:textId="5CBD3E63" w:rsidR="00A028E5" w:rsidRDefault="00A028E5"/>
    <w:p w14:paraId="630F5413" w14:textId="047CFC96" w:rsidR="00A028E5" w:rsidRDefault="00A028E5" w:rsidP="00A028E5">
      <w:pPr>
        <w:jc w:val="center"/>
      </w:pPr>
      <w:r>
        <w:t>COMUNICATO</w:t>
      </w:r>
    </w:p>
    <w:p w14:paraId="49F2C0A3" w14:textId="77777777" w:rsidR="00A028E5" w:rsidRDefault="00A028E5" w:rsidP="00A028E5">
      <w:pPr>
        <w:jc w:val="center"/>
      </w:pPr>
    </w:p>
    <w:p w14:paraId="4CAD9EAF" w14:textId="4193E11B" w:rsidR="00A028E5" w:rsidRDefault="00A028E5" w:rsidP="00A028E5">
      <w:pPr>
        <w:pStyle w:val="NormaleWeb"/>
        <w:jc w:val="both"/>
        <w:rPr>
          <w:rFonts w:ascii="Titillium Web" w:hAnsi="Titillium Web" w:cs="Calibri"/>
          <w:color w:val="1C2024"/>
        </w:rPr>
      </w:pPr>
      <w:r>
        <w:rPr>
          <w:rFonts w:ascii="Titillium Web" w:hAnsi="Titillium Web" w:cs="Calibri"/>
          <w:color w:val="1C2024"/>
        </w:rPr>
        <w:t>In seguito al C</w:t>
      </w:r>
      <w:r w:rsidRPr="00A028E5">
        <w:rPr>
          <w:rFonts w:ascii="Titillium Web" w:hAnsi="Titillium Web" w:cs="Calibri"/>
          <w:color w:val="1C2024"/>
        </w:rPr>
        <w:t>omunicato n.3 del 3 maggio 2021</w:t>
      </w:r>
      <w:r>
        <w:rPr>
          <w:rFonts w:ascii="Titillium Web" w:hAnsi="Titillium Web" w:cs="Calibri"/>
          <w:color w:val="1C2024"/>
        </w:rPr>
        <w:t>, con</w:t>
      </w:r>
      <w:r w:rsidRPr="00A028E5">
        <w:rPr>
          <w:rFonts w:ascii="Titillium Web" w:hAnsi="Titillium Web" w:cs="Calibri"/>
          <w:color w:val="1C2024"/>
        </w:rPr>
        <w:t xml:space="preserve"> provvedimento dell'11 maggio 2021, sono state erogate a favore degli enti locali </w:t>
      </w:r>
      <w:r>
        <w:rPr>
          <w:rFonts w:ascii="Titillium Web" w:hAnsi="Titillium Web" w:cs="Calibri"/>
          <w:color w:val="1C2024"/>
        </w:rPr>
        <w:t>i contributi richiesti per  la progettazione definitiva ed esecutiva</w:t>
      </w:r>
      <w:r w:rsidRPr="00A028E5">
        <w:rPr>
          <w:rFonts w:ascii="Titillium Web" w:hAnsi="Titillium Web" w:cs="Calibri"/>
          <w:color w:val="1C2024"/>
        </w:rPr>
        <w:t>, individuat</w:t>
      </w:r>
      <w:r>
        <w:rPr>
          <w:rFonts w:ascii="Titillium Web" w:hAnsi="Titillium Web" w:cs="Calibri"/>
          <w:color w:val="1C2024"/>
        </w:rPr>
        <w:t>i</w:t>
      </w:r>
      <w:r w:rsidRPr="00A028E5">
        <w:rPr>
          <w:rFonts w:ascii="Titillium Web" w:hAnsi="Titillium Web" w:cs="Calibri"/>
          <w:color w:val="1C2024"/>
        </w:rPr>
        <w:t xml:space="preserve"> dalla posizione n.1 alla posizione n.1.118 della graduatoria dei progetti ammissibili per l'anno 2021, approvata con </w:t>
      </w:r>
      <w:r>
        <w:rPr>
          <w:rFonts w:ascii="Titillium Web" w:hAnsi="Titillium Web" w:cs="Calibri"/>
          <w:color w:val="1C2024"/>
        </w:rPr>
        <w:t>D</w:t>
      </w:r>
      <w:r w:rsidRPr="00A028E5">
        <w:rPr>
          <w:rFonts w:ascii="Titillium Web" w:hAnsi="Titillium Web" w:cs="Calibri"/>
          <w:color w:val="1C2024"/>
        </w:rPr>
        <w:t>ecreto del Ministero dell'</w:t>
      </w:r>
      <w:r>
        <w:rPr>
          <w:rFonts w:ascii="Titillium Web" w:hAnsi="Titillium Web" w:cs="Calibri"/>
          <w:color w:val="1C2024"/>
        </w:rPr>
        <w:t>I</w:t>
      </w:r>
      <w:r w:rsidRPr="00A028E5">
        <w:rPr>
          <w:rFonts w:ascii="Titillium Web" w:hAnsi="Titillium Web" w:cs="Calibri"/>
          <w:color w:val="1C2024"/>
        </w:rPr>
        <w:t>nterno, di concerto con il Ministero dell'</w:t>
      </w:r>
      <w:r>
        <w:rPr>
          <w:rFonts w:ascii="Titillium Web" w:hAnsi="Titillium Web" w:cs="Calibri"/>
          <w:color w:val="1C2024"/>
        </w:rPr>
        <w:t>E</w:t>
      </w:r>
      <w:r w:rsidRPr="00A028E5">
        <w:rPr>
          <w:rFonts w:ascii="Titillium Web" w:hAnsi="Titillium Web" w:cs="Calibri"/>
          <w:color w:val="1C2024"/>
        </w:rPr>
        <w:t xml:space="preserve">conomia e delle </w:t>
      </w:r>
      <w:r>
        <w:rPr>
          <w:rFonts w:ascii="Titillium Web" w:hAnsi="Titillium Web" w:cs="Calibri"/>
          <w:color w:val="1C2024"/>
        </w:rPr>
        <w:t>F</w:t>
      </w:r>
      <w:r w:rsidRPr="00A028E5">
        <w:rPr>
          <w:rFonts w:ascii="Titillium Web" w:hAnsi="Titillium Web" w:cs="Calibri"/>
          <w:color w:val="1C2024"/>
        </w:rPr>
        <w:t xml:space="preserve">inanze del 3 maggio 2021, e riportata nell'allegato 2 dello stesso </w:t>
      </w:r>
      <w:r>
        <w:rPr>
          <w:rFonts w:ascii="Titillium Web" w:hAnsi="Titillium Web" w:cs="Calibri"/>
          <w:color w:val="1C2024"/>
        </w:rPr>
        <w:t>D</w:t>
      </w:r>
      <w:r w:rsidRPr="00A028E5">
        <w:rPr>
          <w:rFonts w:ascii="Titillium Web" w:hAnsi="Titillium Web" w:cs="Calibri"/>
          <w:color w:val="1C2024"/>
        </w:rPr>
        <w:t>ecreto 2021.</w:t>
      </w:r>
    </w:p>
    <w:p w14:paraId="612FA0D9" w14:textId="639686D6" w:rsidR="00A028E5" w:rsidRDefault="00A028E5" w:rsidP="00A028E5">
      <w:pPr>
        <w:pStyle w:val="NormaleWeb"/>
        <w:jc w:val="both"/>
        <w:rPr>
          <w:rFonts w:ascii="Titillium Web" w:hAnsi="Titillium Web" w:cs="Calibri"/>
          <w:color w:val="1C2024"/>
        </w:rPr>
      </w:pPr>
      <w:r>
        <w:rPr>
          <w:rFonts w:ascii="Titillium Web" w:hAnsi="Titillium Web" w:cs="Calibri"/>
          <w:color w:val="1C2024"/>
        </w:rPr>
        <w:t>Questo Comune risulta beneficiario</w:t>
      </w:r>
      <w:r w:rsidR="001A4869">
        <w:rPr>
          <w:rFonts w:ascii="Titillium Web" w:hAnsi="Titillium Web" w:cs="Calibri"/>
          <w:color w:val="1C2024"/>
        </w:rPr>
        <w:t xml:space="preserve"> nella seguente graduatoria:</w:t>
      </w:r>
      <w:r>
        <w:rPr>
          <w:rFonts w:ascii="Titillium Web" w:hAnsi="Titillium Web" w:cs="Calibri"/>
          <w:color w:val="1C2024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64"/>
        <w:gridCol w:w="1968"/>
        <w:gridCol w:w="887"/>
        <w:gridCol w:w="1670"/>
        <w:gridCol w:w="2673"/>
        <w:gridCol w:w="1072"/>
      </w:tblGrid>
      <w:tr w:rsidR="001A4869" w14:paraId="71FD072D" w14:textId="77777777" w:rsidTr="00570C3F">
        <w:tc>
          <w:tcPr>
            <w:tcW w:w="1364" w:type="dxa"/>
          </w:tcPr>
          <w:p w14:paraId="6A269B3B" w14:textId="515E1132" w:rsidR="001A4869" w:rsidRDefault="001A4869" w:rsidP="00A028E5">
            <w:pPr>
              <w:pStyle w:val="NormaleWeb"/>
              <w:jc w:val="both"/>
            </w:pPr>
            <w:r w:rsidRPr="001A4869">
              <w:t>Graduatoria</w:t>
            </w:r>
          </w:p>
        </w:tc>
        <w:tc>
          <w:tcPr>
            <w:tcW w:w="1968" w:type="dxa"/>
          </w:tcPr>
          <w:p w14:paraId="661E0BF6" w14:textId="32668CCD" w:rsidR="001A4869" w:rsidRDefault="001A4869" w:rsidP="00A028E5">
            <w:pPr>
              <w:pStyle w:val="NormaleWeb"/>
              <w:jc w:val="both"/>
            </w:pPr>
            <w:r w:rsidRPr="001A4869">
              <w:t>Ente</w:t>
            </w:r>
          </w:p>
        </w:tc>
        <w:tc>
          <w:tcPr>
            <w:tcW w:w="887" w:type="dxa"/>
          </w:tcPr>
          <w:p w14:paraId="29BDBAEE" w14:textId="6C82BF31" w:rsidR="001A4869" w:rsidRDefault="001A4869" w:rsidP="00A028E5">
            <w:pPr>
              <w:pStyle w:val="NormaleWeb"/>
              <w:jc w:val="both"/>
            </w:pPr>
            <w:r w:rsidRPr="001A4869">
              <w:t>Anno</w:t>
            </w:r>
          </w:p>
        </w:tc>
        <w:tc>
          <w:tcPr>
            <w:tcW w:w="1670" w:type="dxa"/>
          </w:tcPr>
          <w:p w14:paraId="6EB8F8C7" w14:textId="6396EF6B" w:rsidR="001A4869" w:rsidRDefault="001A4869" w:rsidP="00A028E5">
            <w:pPr>
              <w:pStyle w:val="NormaleWeb"/>
              <w:jc w:val="both"/>
            </w:pPr>
            <w:r w:rsidRPr="001A4869">
              <w:t>CUP</w:t>
            </w:r>
          </w:p>
        </w:tc>
        <w:tc>
          <w:tcPr>
            <w:tcW w:w="2673" w:type="dxa"/>
          </w:tcPr>
          <w:p w14:paraId="492CCC99" w14:textId="267F4E04" w:rsidR="001A4869" w:rsidRDefault="00570C3F" w:rsidP="00A028E5">
            <w:pPr>
              <w:pStyle w:val="NormaleWeb"/>
              <w:jc w:val="both"/>
            </w:pPr>
            <w:r>
              <w:t>oggetto</w:t>
            </w:r>
          </w:p>
        </w:tc>
        <w:tc>
          <w:tcPr>
            <w:tcW w:w="1072" w:type="dxa"/>
          </w:tcPr>
          <w:p w14:paraId="56B1EF69" w14:textId="354DE06C" w:rsidR="001A4869" w:rsidRDefault="00570C3F" w:rsidP="00A028E5">
            <w:pPr>
              <w:pStyle w:val="NormaleWeb"/>
              <w:jc w:val="both"/>
            </w:pPr>
            <w:r>
              <w:t>importo</w:t>
            </w:r>
          </w:p>
        </w:tc>
      </w:tr>
      <w:tr w:rsidR="001A4869" w:rsidRPr="00570C3F" w14:paraId="17A7E6B1" w14:textId="77777777" w:rsidTr="00570C3F">
        <w:tc>
          <w:tcPr>
            <w:tcW w:w="1364" w:type="dxa"/>
          </w:tcPr>
          <w:p w14:paraId="13092D28" w14:textId="79C5F1E3" w:rsidR="001A4869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336</w:t>
            </w:r>
          </w:p>
        </w:tc>
        <w:tc>
          <w:tcPr>
            <w:tcW w:w="1968" w:type="dxa"/>
          </w:tcPr>
          <w:p w14:paraId="62161FFC" w14:textId="09ECFF59" w:rsidR="001A4869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UBIALE CLANEZZO BG</w:t>
            </w:r>
          </w:p>
        </w:tc>
        <w:tc>
          <w:tcPr>
            <w:tcW w:w="887" w:type="dxa"/>
          </w:tcPr>
          <w:p w14:paraId="05D5F931" w14:textId="6836A6AC" w:rsidR="001A4869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2021</w:t>
            </w:r>
          </w:p>
        </w:tc>
        <w:tc>
          <w:tcPr>
            <w:tcW w:w="1670" w:type="dxa"/>
          </w:tcPr>
          <w:p w14:paraId="7CC57CD4" w14:textId="01D07C9E" w:rsidR="001A4869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F99C21000040001</w:t>
            </w:r>
          </w:p>
        </w:tc>
        <w:tc>
          <w:tcPr>
            <w:tcW w:w="2673" w:type="dxa"/>
          </w:tcPr>
          <w:p w14:paraId="3F52BB6A" w14:textId="2C035168" w:rsidR="001A4869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INTERVENTO DI MESSA IN SICUREZZA DEI VERSANTI A MONTE DELLA STRADA COMUNALE DI COLLEGAMENTO TRA IL CAPOLUOGO E LA FRAZIONE DI CLANEZZO - STRADA ALTERNATIVA ALLA EX STATALE N. 470 VALLE BREMBANA LOTTO 1B1</w:t>
            </w:r>
          </w:p>
        </w:tc>
        <w:tc>
          <w:tcPr>
            <w:tcW w:w="1072" w:type="dxa"/>
          </w:tcPr>
          <w:p w14:paraId="63ECA8A6" w14:textId="2DA701B7" w:rsidR="001A4869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 xml:space="preserve">32.881,28   </w:t>
            </w:r>
          </w:p>
        </w:tc>
      </w:tr>
      <w:tr w:rsidR="00570C3F" w:rsidRPr="00570C3F" w14:paraId="7C82CD35" w14:textId="77777777" w:rsidTr="00570C3F">
        <w:tc>
          <w:tcPr>
            <w:tcW w:w="1364" w:type="dxa"/>
          </w:tcPr>
          <w:p w14:paraId="7BC52927" w14:textId="0D812B53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337</w:t>
            </w:r>
          </w:p>
        </w:tc>
        <w:tc>
          <w:tcPr>
            <w:tcW w:w="1968" w:type="dxa"/>
          </w:tcPr>
          <w:p w14:paraId="55C8B38E" w14:textId="59B45E77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UBIALE CLANEZZO BG</w:t>
            </w:r>
          </w:p>
        </w:tc>
        <w:tc>
          <w:tcPr>
            <w:tcW w:w="887" w:type="dxa"/>
          </w:tcPr>
          <w:p w14:paraId="0F9D2821" w14:textId="3C754F8E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2021</w:t>
            </w:r>
          </w:p>
        </w:tc>
        <w:tc>
          <w:tcPr>
            <w:tcW w:w="1670" w:type="dxa"/>
          </w:tcPr>
          <w:p w14:paraId="1B192FCA" w14:textId="3CD40243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F99C21000050001</w:t>
            </w:r>
          </w:p>
        </w:tc>
        <w:tc>
          <w:tcPr>
            <w:tcW w:w="2673" w:type="dxa"/>
          </w:tcPr>
          <w:p w14:paraId="304B1BE5" w14:textId="4ED44E0C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PROGETTAZIONE DEFINITIVA ED ESECUTIVA PER INTERVENTO DI SISTEMAZIONE IDROGEOLOGICA DELLA VALLETTA DETTA TONELA</w:t>
            </w:r>
          </w:p>
        </w:tc>
        <w:tc>
          <w:tcPr>
            <w:tcW w:w="1072" w:type="dxa"/>
          </w:tcPr>
          <w:p w14:paraId="4C79ECEB" w14:textId="1E8CE281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4.799,32</w:t>
            </w:r>
          </w:p>
        </w:tc>
      </w:tr>
      <w:tr w:rsidR="00570C3F" w:rsidRPr="00570C3F" w14:paraId="2A2B3C23" w14:textId="77777777" w:rsidTr="00570C3F">
        <w:tc>
          <w:tcPr>
            <w:tcW w:w="1364" w:type="dxa"/>
          </w:tcPr>
          <w:p w14:paraId="08C4F427" w14:textId="18A18E4F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338</w:t>
            </w:r>
          </w:p>
        </w:tc>
        <w:tc>
          <w:tcPr>
            <w:tcW w:w="1968" w:type="dxa"/>
          </w:tcPr>
          <w:p w14:paraId="06D7436E" w14:textId="5A8E45E3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UBIALE CLANEZZO BG</w:t>
            </w:r>
          </w:p>
        </w:tc>
        <w:tc>
          <w:tcPr>
            <w:tcW w:w="887" w:type="dxa"/>
          </w:tcPr>
          <w:p w14:paraId="0B427C7A" w14:textId="2028DA2C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2021</w:t>
            </w:r>
          </w:p>
        </w:tc>
        <w:tc>
          <w:tcPr>
            <w:tcW w:w="1670" w:type="dxa"/>
          </w:tcPr>
          <w:p w14:paraId="10ADF990" w14:textId="39FC20D3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F99C21000060001</w:t>
            </w:r>
          </w:p>
        </w:tc>
        <w:tc>
          <w:tcPr>
            <w:tcW w:w="2673" w:type="dxa"/>
          </w:tcPr>
          <w:p w14:paraId="7D4BC75A" w14:textId="75EBACD5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PROGETTAZIONE DEFINITIVA ED ESECUTIVA PER INTERVENTO DI SISTEMAZIONE IDROGEOLOGICA DELLA VALLETTA CHE SCENDE DALLA LOCALITA' CAZZANINO</w:t>
            </w:r>
          </w:p>
        </w:tc>
        <w:tc>
          <w:tcPr>
            <w:tcW w:w="1072" w:type="dxa"/>
          </w:tcPr>
          <w:p w14:paraId="5F2BB0D1" w14:textId="65BC3B0E" w:rsidR="00570C3F" w:rsidRPr="00570C3F" w:rsidRDefault="00570C3F" w:rsidP="00A028E5">
            <w:pPr>
              <w:pStyle w:val="NormaleWeb"/>
              <w:jc w:val="both"/>
              <w:rPr>
                <w:sz w:val="18"/>
                <w:szCs w:val="18"/>
              </w:rPr>
            </w:pPr>
            <w:r w:rsidRPr="00570C3F">
              <w:rPr>
                <w:sz w:val="18"/>
                <w:szCs w:val="18"/>
              </w:rPr>
              <w:t>5.732,66</w:t>
            </w:r>
          </w:p>
        </w:tc>
      </w:tr>
    </w:tbl>
    <w:p w14:paraId="3BAD8D0C" w14:textId="41606243" w:rsidR="00A028E5" w:rsidRPr="00A028E5" w:rsidRDefault="00570C3F" w:rsidP="00A028E5">
      <w:pPr>
        <w:pStyle w:val="NormaleWeb"/>
        <w:jc w:val="both"/>
        <w:rPr>
          <w:rFonts w:ascii="Titillium Web" w:hAnsi="Titillium Web" w:cs="Calibri"/>
          <w:color w:val="1C2024"/>
        </w:rPr>
      </w:pPr>
      <w:r>
        <w:rPr>
          <w:rFonts w:ascii="Titillium Web" w:hAnsi="Titillium Web" w:cs="Calibri"/>
          <w:color w:val="1C2024"/>
        </w:rPr>
        <w:t>Ai sensi del</w:t>
      </w:r>
      <w:r w:rsidR="00A028E5" w:rsidRPr="00A028E5">
        <w:rPr>
          <w:rFonts w:ascii="Titillium Web" w:hAnsi="Titillium Web" w:cs="Calibri"/>
          <w:color w:val="1C2024"/>
        </w:rPr>
        <w:t xml:space="preserve">l'articolo 1, comma 56, della legge 27 dicembre 2019, n.160, (come richiamato dall'articolo 3, punto 1, del citato decreto interministeriale del 3 maggio 2021), </w:t>
      </w:r>
      <w:r>
        <w:rPr>
          <w:rFonts w:ascii="Titillium Web" w:hAnsi="Titillium Web" w:cs="Calibri"/>
          <w:color w:val="1C2024"/>
        </w:rPr>
        <w:t>è</w:t>
      </w:r>
      <w:r w:rsidR="00A028E5" w:rsidRPr="00A028E5">
        <w:rPr>
          <w:rFonts w:ascii="Titillium Web" w:hAnsi="Titillium Web" w:cs="Calibri"/>
          <w:color w:val="1C2024"/>
        </w:rPr>
        <w:t xml:space="preserve"> stabilito che gli enti beneficiari sono tenuti ad affidare la progettazione entro tre mesi decorrenti dalla data di emanazione del decreto di assegnazione del contributo, ovvero entro il termine del 3 agosto 2021.</w:t>
      </w:r>
    </w:p>
    <w:p w14:paraId="75BB8BEF" w14:textId="485DFE4A" w:rsidR="00A028E5" w:rsidRPr="00A028E5" w:rsidRDefault="005A2CC6" w:rsidP="00A028E5">
      <w:pPr>
        <w:pStyle w:val="NormaleWeb"/>
        <w:jc w:val="both"/>
        <w:rPr>
          <w:rFonts w:ascii="Titillium Web" w:hAnsi="Titillium Web" w:cs="Calibri"/>
          <w:color w:val="1C2024"/>
        </w:rPr>
      </w:pPr>
      <w:r>
        <w:rPr>
          <w:rFonts w:ascii="Titillium Web" w:hAnsi="Titillium Web" w:cs="Calibri"/>
          <w:color w:val="1C2024"/>
        </w:rPr>
        <w:t>I</w:t>
      </w:r>
      <w:r w:rsidR="00A028E5" w:rsidRPr="00A028E5">
        <w:rPr>
          <w:rFonts w:ascii="Titillium Web" w:hAnsi="Titillium Web" w:cs="Calibri"/>
          <w:color w:val="1C2024"/>
        </w:rPr>
        <w:t>l contributo, assegnato ed erogato in base ad apposita graduatoria, è finalizzato alla sola ed esclusiva realizzazione della progettazione indicata nella richiesta presentata entro il 15 gennaio 2021.</w:t>
      </w:r>
    </w:p>
    <w:sectPr w:rsidR="00A028E5" w:rsidRPr="00A02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E5"/>
    <w:rsid w:val="00055B36"/>
    <w:rsid w:val="001A4869"/>
    <w:rsid w:val="00207599"/>
    <w:rsid w:val="002505CA"/>
    <w:rsid w:val="003D6A1E"/>
    <w:rsid w:val="004C70D7"/>
    <w:rsid w:val="00570C3F"/>
    <w:rsid w:val="005A2CC6"/>
    <w:rsid w:val="00A028E5"/>
    <w:rsid w:val="00AE5CFF"/>
    <w:rsid w:val="00BB2F95"/>
    <w:rsid w:val="00CA13CC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DDCC"/>
  <w15:chartTrackingRefBased/>
  <w15:docId w15:val="{884E2991-3A3F-4692-807D-62BFB8C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28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A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4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2021-05-19T06:20:00Z</dcterms:created>
  <dcterms:modified xsi:type="dcterms:W3CDTF">2021-05-19T06:37:00Z</dcterms:modified>
</cp:coreProperties>
</file>